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843037" w:rsidRDefault="00DC3881" w:rsidP="00DC3881">
      <w:pPr>
        <w:pStyle w:val="Bezproreda"/>
        <w:rPr>
          <w:rFonts w:cs="Times New Roman"/>
          <w:b/>
        </w:rPr>
      </w:pPr>
      <w:r w:rsidRPr="00843037">
        <w:rPr>
          <w:rFonts w:cs="Times New Roman"/>
          <w:b/>
        </w:rPr>
        <w:t>OŠ fra Kaje Adžića Pleternica</w:t>
      </w:r>
    </w:p>
    <w:p w14:paraId="0E7DEDF4" w14:textId="379B72E1" w:rsidR="00DC3881" w:rsidRPr="00843037" w:rsidRDefault="00DC3881" w:rsidP="00DC3881">
      <w:pPr>
        <w:pStyle w:val="Bezproreda"/>
        <w:rPr>
          <w:rFonts w:cs="Times New Roman"/>
        </w:rPr>
      </w:pPr>
      <w:r w:rsidRPr="00843037">
        <w:rPr>
          <w:rFonts w:cs="Times New Roman"/>
        </w:rPr>
        <w:t>KLASA: 007-04/22-02/</w:t>
      </w:r>
      <w:r w:rsidR="00063765" w:rsidRPr="00843037">
        <w:rPr>
          <w:rFonts w:cs="Times New Roman"/>
        </w:rPr>
        <w:t>6</w:t>
      </w:r>
    </w:p>
    <w:p w14:paraId="101E5122" w14:textId="77777777" w:rsidR="00DC3881" w:rsidRPr="00843037" w:rsidRDefault="00DC3881" w:rsidP="00DC3881">
      <w:pPr>
        <w:pStyle w:val="Bezproreda"/>
        <w:rPr>
          <w:rFonts w:cs="Times New Roman"/>
        </w:rPr>
      </w:pPr>
      <w:r w:rsidRPr="00843037">
        <w:rPr>
          <w:rFonts w:cs="Times New Roman"/>
        </w:rPr>
        <w:t>URBROJ: 2177-31-01-22-1</w:t>
      </w:r>
    </w:p>
    <w:p w14:paraId="761B2E42" w14:textId="39D6F872" w:rsidR="00DC3881" w:rsidRPr="00843037" w:rsidRDefault="00DC3881" w:rsidP="00DC3881">
      <w:pPr>
        <w:pStyle w:val="Bezproreda"/>
        <w:rPr>
          <w:rFonts w:cs="Times New Roman"/>
        </w:rPr>
      </w:pPr>
      <w:r w:rsidRPr="00843037">
        <w:rPr>
          <w:rFonts w:cs="Times New Roman"/>
        </w:rPr>
        <w:t xml:space="preserve">Pleternica, </w:t>
      </w:r>
      <w:r w:rsidR="00063765" w:rsidRPr="00843037">
        <w:rPr>
          <w:rFonts w:cs="Times New Roman"/>
        </w:rPr>
        <w:t>1.8</w:t>
      </w:r>
      <w:r w:rsidRPr="00843037">
        <w:rPr>
          <w:rFonts w:cs="Times New Roman"/>
        </w:rPr>
        <w:t>.2022.</w:t>
      </w:r>
    </w:p>
    <w:p w14:paraId="0BCAA0ED" w14:textId="77777777" w:rsidR="00DC3881" w:rsidRPr="00843037" w:rsidRDefault="00DC3881" w:rsidP="00DC3881">
      <w:pPr>
        <w:rPr>
          <w:rFonts w:cs="Times New Roman"/>
        </w:rPr>
      </w:pPr>
    </w:p>
    <w:p w14:paraId="778C5CD1" w14:textId="0ECC8938" w:rsidR="00DC3881" w:rsidRPr="00843037" w:rsidRDefault="00DC3881" w:rsidP="00DC3881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843037">
        <w:rPr>
          <w:rFonts w:eastAsiaTheme="minorEastAsia" w:cs="Times New Roman"/>
          <w:szCs w:val="24"/>
          <w:lang w:eastAsia="hr-HR"/>
        </w:rPr>
        <w:t>Na temelju članka 47. Statuta OŠ fra Kaje Adžića Pleternica, Predsjednica ŠO OŠ fra Kaje Adžića Pleternica saziva 1</w:t>
      </w:r>
      <w:r w:rsidR="00063765" w:rsidRPr="00843037">
        <w:rPr>
          <w:rFonts w:eastAsiaTheme="minorEastAsia" w:cs="Times New Roman"/>
          <w:szCs w:val="24"/>
          <w:lang w:eastAsia="hr-HR"/>
        </w:rPr>
        <w:t>4</w:t>
      </w:r>
      <w:r w:rsidRPr="00843037">
        <w:rPr>
          <w:rFonts w:eastAsiaTheme="minorEastAsia" w:cs="Times New Roman"/>
          <w:szCs w:val="24"/>
          <w:lang w:eastAsia="hr-HR"/>
        </w:rPr>
        <w:t>.sjednicu Školskog odbora OŠ fra Kaje Adžića Pleternica koja će se održati elektronskim  putem</w:t>
      </w:r>
    </w:p>
    <w:p w14:paraId="334D0296" w14:textId="77777777" w:rsidR="003C572C" w:rsidRPr="00843037" w:rsidRDefault="003C572C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5ED1AB05" w14:textId="03BAE0C1" w:rsidR="00DC3881" w:rsidRPr="00843037" w:rsidRDefault="00DC3881" w:rsidP="00DC3881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843037">
        <w:rPr>
          <w:rFonts w:eastAsiaTheme="minorEastAsia" w:cs="Times New Roman"/>
          <w:b/>
          <w:szCs w:val="24"/>
          <w:lang w:eastAsia="hr-HR"/>
        </w:rPr>
        <w:t>DNEVNI RED</w:t>
      </w:r>
    </w:p>
    <w:p w14:paraId="2C9ACAA4" w14:textId="68E282A2" w:rsidR="00DC3881" w:rsidRPr="00843037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843037">
        <w:rPr>
          <w:rFonts w:eastAsiaTheme="minorEastAsia" w:cs="Times New Roman"/>
          <w:szCs w:val="24"/>
        </w:rPr>
        <w:t>1. Prihvaćanje zapisnika s 1</w:t>
      </w:r>
      <w:r w:rsidR="00063765" w:rsidRPr="00843037">
        <w:rPr>
          <w:rFonts w:eastAsiaTheme="minorEastAsia" w:cs="Times New Roman"/>
          <w:szCs w:val="24"/>
        </w:rPr>
        <w:t>3</w:t>
      </w:r>
      <w:r w:rsidRPr="00843037">
        <w:rPr>
          <w:rFonts w:eastAsiaTheme="minorEastAsia" w:cs="Times New Roman"/>
          <w:szCs w:val="24"/>
        </w:rPr>
        <w:t>.sjednice ŠO</w:t>
      </w:r>
    </w:p>
    <w:p w14:paraId="04FED68B" w14:textId="31801822" w:rsidR="00DC3881" w:rsidRPr="00843037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843037">
        <w:rPr>
          <w:rFonts w:eastAsiaTheme="minorEastAsia" w:cs="Times New Roman"/>
          <w:szCs w:val="24"/>
        </w:rPr>
        <w:t xml:space="preserve">2. </w:t>
      </w:r>
      <w:r w:rsidR="00843037">
        <w:rPr>
          <w:rFonts w:eastAsiaTheme="minorEastAsia" w:cs="Times New Roman"/>
          <w:szCs w:val="24"/>
        </w:rPr>
        <w:t>Izvještaj o izvršenju polugodišnjeg Financijskog plana za 2022. godinu</w:t>
      </w:r>
    </w:p>
    <w:p w14:paraId="3F79478C" w14:textId="77777777" w:rsidR="00DC3881" w:rsidRPr="00843037" w:rsidRDefault="00DC3881" w:rsidP="00DC3881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2ABA906A" w14:textId="08251003" w:rsidR="00DC3881" w:rsidRPr="00843037" w:rsidRDefault="00DC3881" w:rsidP="00DC3881">
      <w:pPr>
        <w:spacing w:after="0" w:line="240" w:lineRule="auto"/>
        <w:rPr>
          <w:rFonts w:eastAsiaTheme="minorEastAsia" w:cs="Times New Roman"/>
          <w:b/>
          <w:bCs/>
          <w:szCs w:val="24"/>
        </w:rPr>
      </w:pPr>
      <w:r w:rsidRPr="00843037">
        <w:rPr>
          <w:rFonts w:eastAsiaTheme="minorEastAsia" w:cs="Times New Roman"/>
          <w:b/>
          <w:bCs/>
          <w:szCs w:val="24"/>
        </w:rPr>
        <w:t xml:space="preserve">Pozivaju se članovi ŠO da prouče materijale koji se nalaze u privitku ovoga poziva te da se do </w:t>
      </w:r>
      <w:r w:rsidR="00063765" w:rsidRPr="00843037">
        <w:rPr>
          <w:rFonts w:eastAsiaTheme="minorEastAsia" w:cs="Times New Roman"/>
          <w:b/>
          <w:bCs/>
          <w:szCs w:val="24"/>
        </w:rPr>
        <w:t>1.8</w:t>
      </w:r>
      <w:r w:rsidRPr="00843037">
        <w:rPr>
          <w:rFonts w:eastAsiaTheme="minorEastAsia" w:cs="Times New Roman"/>
          <w:b/>
          <w:bCs/>
          <w:szCs w:val="24"/>
        </w:rPr>
        <w:t xml:space="preserve">.2022. do </w:t>
      </w:r>
      <w:r w:rsidR="00063765" w:rsidRPr="00843037">
        <w:rPr>
          <w:rFonts w:eastAsiaTheme="minorEastAsia" w:cs="Times New Roman"/>
          <w:b/>
          <w:bCs/>
          <w:szCs w:val="24"/>
        </w:rPr>
        <w:t>20</w:t>
      </w:r>
      <w:r w:rsidRPr="00843037">
        <w:rPr>
          <w:rFonts w:eastAsiaTheme="minorEastAsia" w:cs="Times New Roman"/>
          <w:b/>
          <w:bCs/>
          <w:szCs w:val="24"/>
        </w:rPr>
        <w:t xml:space="preserve">;00 sati,  upućivanjem elektronske pošte na adresu  </w:t>
      </w:r>
      <w:hyperlink r:id="rId5" w:history="1">
        <w:r w:rsidRPr="00843037">
          <w:rPr>
            <w:rFonts w:eastAsiaTheme="minorEastAsia" w:cs="Times New Roman"/>
            <w:b/>
            <w:bCs/>
            <w:color w:val="0563C1"/>
            <w:szCs w:val="24"/>
            <w:u w:val="single"/>
          </w:rPr>
          <w:t>skola@os-frakajeadzica-pleternica.skole.hr</w:t>
        </w:r>
      </w:hyperlink>
      <w:r w:rsidRPr="00843037">
        <w:rPr>
          <w:rFonts w:eastAsiaTheme="minorEastAsia" w:cs="Times New Roman"/>
          <w:b/>
          <w:bCs/>
          <w:szCs w:val="24"/>
        </w:rPr>
        <w:t>, očituju na sljedeća pitanja:</w:t>
      </w:r>
    </w:p>
    <w:p w14:paraId="52430215" w14:textId="77777777" w:rsidR="00DC3881" w:rsidRPr="00843037" w:rsidRDefault="00DC3881" w:rsidP="00DC3881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16DA850C" w14:textId="77777777" w:rsidR="003C572C" w:rsidRPr="00843037" w:rsidRDefault="003C572C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6FB3B5B8" w14:textId="15909DAD" w:rsidR="00DC3881" w:rsidRPr="00843037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  <w:r w:rsidRPr="00843037">
        <w:rPr>
          <w:rFonts w:eastAsiaTheme="minorEastAsia" w:cs="Times New Roman"/>
          <w:szCs w:val="24"/>
        </w:rPr>
        <w:t>Ad.1.)</w:t>
      </w:r>
      <w:r w:rsidRPr="00843037">
        <w:rPr>
          <w:rFonts w:eastAsiaTheme="minorEastAsia" w:cs="Times New Roman"/>
          <w:b/>
          <w:bCs/>
          <w:szCs w:val="24"/>
        </w:rPr>
        <w:t xml:space="preserve"> </w:t>
      </w:r>
      <w:r w:rsidRPr="00843037">
        <w:rPr>
          <w:rFonts w:eastAsiaTheme="minorEastAsia" w:cs="Times New Roman"/>
          <w:szCs w:val="24"/>
        </w:rPr>
        <w:t>Prihvaćate li zapisnik s 1</w:t>
      </w:r>
      <w:r w:rsidR="00063765" w:rsidRPr="00843037">
        <w:rPr>
          <w:rFonts w:eastAsiaTheme="minorEastAsia" w:cs="Times New Roman"/>
          <w:szCs w:val="24"/>
        </w:rPr>
        <w:t>3</w:t>
      </w:r>
      <w:r w:rsidRPr="00843037">
        <w:rPr>
          <w:rFonts w:eastAsiaTheme="minorEastAsia" w:cs="Times New Roman"/>
          <w:szCs w:val="24"/>
        </w:rPr>
        <w:t>. sjednice ŠO?</w:t>
      </w:r>
    </w:p>
    <w:p w14:paraId="5C4F48BB" w14:textId="77777777" w:rsidR="00DC3881" w:rsidRPr="00843037" w:rsidRDefault="00DC3881" w:rsidP="00DC3881">
      <w:pPr>
        <w:spacing w:after="0" w:line="240" w:lineRule="auto"/>
        <w:rPr>
          <w:rFonts w:eastAsiaTheme="minorEastAsia" w:cs="Times New Roman"/>
          <w:szCs w:val="24"/>
        </w:rPr>
      </w:pPr>
    </w:p>
    <w:p w14:paraId="4695F0CE" w14:textId="3BE3C183" w:rsidR="00DC3881" w:rsidRPr="00843037" w:rsidRDefault="00DC3881" w:rsidP="00DC3881">
      <w:pPr>
        <w:rPr>
          <w:rFonts w:cs="Times New Roman"/>
        </w:rPr>
      </w:pPr>
      <w:r w:rsidRPr="00843037">
        <w:rPr>
          <w:rFonts w:cs="Times New Roman"/>
        </w:rPr>
        <w:t xml:space="preserve">Ad.2.) </w:t>
      </w:r>
      <w:r w:rsidR="00063765" w:rsidRPr="00843037">
        <w:rPr>
          <w:rFonts w:cs="Times New Roman"/>
        </w:rPr>
        <w:t xml:space="preserve">Usvajate li </w:t>
      </w:r>
      <w:r w:rsidR="00843037">
        <w:rPr>
          <w:rFonts w:cs="Times New Roman"/>
        </w:rPr>
        <w:t>Izvještaj o izvršenju polugodišnjeg Financijskog plana</w:t>
      </w:r>
      <w:r w:rsidR="00063765" w:rsidRPr="00843037">
        <w:rPr>
          <w:rFonts w:cs="Times New Roman"/>
        </w:rPr>
        <w:t xml:space="preserve"> za 2022. godinu</w:t>
      </w:r>
    </w:p>
    <w:p w14:paraId="0143F139" w14:textId="77777777" w:rsidR="00DC3881" w:rsidRPr="00843037" w:rsidRDefault="00DC3881" w:rsidP="00DC3881">
      <w:pPr>
        <w:rPr>
          <w:rFonts w:cs="Times New Roman"/>
        </w:rPr>
      </w:pP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  <w:t>Predsjednica ŠO</w:t>
      </w:r>
    </w:p>
    <w:p w14:paraId="2689B7C7" w14:textId="77777777" w:rsidR="00DC3881" w:rsidRPr="00843037" w:rsidRDefault="00DC3881" w:rsidP="00DC3881">
      <w:pPr>
        <w:rPr>
          <w:rFonts w:cs="Times New Roman"/>
        </w:rPr>
      </w:pP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</w:r>
      <w:r w:rsidRPr="00843037">
        <w:rPr>
          <w:rFonts w:cs="Times New Roman"/>
        </w:rPr>
        <w:tab/>
        <w:t>Marijana Škvorc, dipl.ing.</w:t>
      </w:r>
    </w:p>
    <w:p w14:paraId="0C5C1D3F" w14:textId="77777777" w:rsidR="00DC3881" w:rsidRPr="00843037" w:rsidRDefault="00DC3881" w:rsidP="00DC3881">
      <w:pPr>
        <w:rPr>
          <w:rFonts w:cs="Times New Roman"/>
          <w:b/>
          <w:bCs/>
        </w:rPr>
      </w:pPr>
      <w:r w:rsidRPr="00843037">
        <w:rPr>
          <w:rFonts w:cs="Times New Roman"/>
          <w:b/>
          <w:bCs/>
        </w:rPr>
        <w:t>Obrazloženje:</w:t>
      </w:r>
    </w:p>
    <w:p w14:paraId="44DAB199" w14:textId="6FD80E87" w:rsidR="00DC3881" w:rsidRPr="00843037" w:rsidRDefault="00DC3881" w:rsidP="00843037">
      <w:pPr>
        <w:pStyle w:val="Bezproreda"/>
      </w:pPr>
      <w:r w:rsidRPr="00843037">
        <w:t>Ad.1.) Zapisnik s 1</w:t>
      </w:r>
      <w:r w:rsidR="00063765" w:rsidRPr="00843037">
        <w:t>3</w:t>
      </w:r>
      <w:r w:rsidRPr="00843037">
        <w:t>.sjednice ŠO (u prilogu)</w:t>
      </w:r>
    </w:p>
    <w:p w14:paraId="2F8A4A17" w14:textId="6647AD4C" w:rsidR="00A047CB" w:rsidRPr="00843037" w:rsidRDefault="00DC3881" w:rsidP="00843037">
      <w:pPr>
        <w:pStyle w:val="Bezproreda"/>
      </w:pPr>
      <w:r w:rsidRPr="00843037">
        <w:t>Ad.2.)</w:t>
      </w:r>
      <w:r w:rsidR="00B4690A" w:rsidRPr="00843037">
        <w:t xml:space="preserve"> </w:t>
      </w:r>
      <w:r w:rsidR="005F062E">
        <w:t>Izvještaj o izvršenju polugodišnjeg Financijskog plana za 2022. (</w:t>
      </w:r>
      <w:r w:rsidR="00063765" w:rsidRPr="00843037">
        <w:t xml:space="preserve"> u prilogu</w:t>
      </w:r>
      <w:r w:rsidR="005F062E">
        <w:t>)</w:t>
      </w:r>
    </w:p>
    <w:p w14:paraId="13B618E4" w14:textId="77777777" w:rsidR="00843037" w:rsidRPr="00843037" w:rsidRDefault="00843037" w:rsidP="00843037">
      <w:pPr>
        <w:pStyle w:val="Bezproreda"/>
        <w:rPr>
          <w:rFonts w:eastAsiaTheme="minorEastAsia"/>
          <w:szCs w:val="24"/>
        </w:rPr>
      </w:pPr>
    </w:p>
    <w:p w14:paraId="69B7C51C" w14:textId="77777777" w:rsidR="00843037" w:rsidRPr="00843037" w:rsidRDefault="00843037" w:rsidP="00843037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rStyle w:val="Neupadljivoisticanje"/>
          <w:rFonts w:eastAsiaTheme="minorHAnsi"/>
          <w:sz w:val="22"/>
          <w:szCs w:val="22"/>
          <w:lang w:eastAsia="en-US"/>
        </w:rPr>
      </w:pPr>
      <w:r w:rsidRPr="00843037">
        <w:rPr>
          <w:rStyle w:val="Neupadljivoisticanje"/>
          <w:rFonts w:eastAsiaTheme="minorHAnsi"/>
          <w:sz w:val="22"/>
          <w:szCs w:val="22"/>
          <w:lang w:eastAsia="en-US"/>
        </w:rPr>
        <w:t xml:space="preserve">Zakon o proračunu člancima 85., 86. i 87. propisuje obvezu izrade i donošenja Izvještaja o izvršenju Financijskog plana za sve proračunske korisnike. Člankom 81. Zakona o proračunu propisano je da izvještaj o izvršenju financijskog plana proračunskog i izvanproračunskog korisnika sadrže opći i posebni dio. </w:t>
      </w:r>
    </w:p>
    <w:p w14:paraId="4A11B4B0" w14:textId="77777777" w:rsidR="00843037" w:rsidRPr="00843037" w:rsidRDefault="00843037" w:rsidP="00843037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rStyle w:val="Neupadljivoisticanje"/>
          <w:rFonts w:eastAsiaTheme="minorHAnsi"/>
          <w:sz w:val="22"/>
          <w:szCs w:val="22"/>
          <w:lang w:eastAsia="en-US"/>
        </w:rPr>
      </w:pPr>
      <w:r w:rsidRPr="00843037">
        <w:rPr>
          <w:rStyle w:val="Neupadljivoisticanje"/>
          <w:rFonts w:eastAsiaTheme="minorHAnsi"/>
          <w:sz w:val="22"/>
          <w:szCs w:val="22"/>
          <w:lang w:eastAsia="en-US"/>
        </w:rPr>
        <w:t>Opći dio polugodišnjeg i godišnjeg izvještaja o izvršenju financijskog plana proračunskog i izvanproračunskog korisnika sadrži:</w:t>
      </w:r>
    </w:p>
    <w:p w14:paraId="244DA4E6" w14:textId="77777777" w:rsidR="00843037" w:rsidRPr="00843037" w:rsidRDefault="00843037" w:rsidP="00843037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rStyle w:val="Neupadljivoisticanje"/>
          <w:rFonts w:eastAsiaTheme="minorHAnsi"/>
          <w:sz w:val="22"/>
          <w:szCs w:val="22"/>
          <w:lang w:eastAsia="en-US"/>
        </w:rPr>
      </w:pPr>
      <w:r w:rsidRPr="00843037">
        <w:rPr>
          <w:rStyle w:val="Neupadljivoisticanje"/>
          <w:rFonts w:eastAsiaTheme="minorHAnsi"/>
          <w:sz w:val="22"/>
          <w:szCs w:val="22"/>
          <w:lang w:eastAsia="en-US"/>
        </w:rPr>
        <w:t>– Sažetak Računa prihoda i rashoda i Računa financiranja</w:t>
      </w:r>
    </w:p>
    <w:p w14:paraId="51BBC0AE" w14:textId="77777777" w:rsidR="00843037" w:rsidRPr="00843037" w:rsidRDefault="00843037" w:rsidP="00843037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rStyle w:val="Neupadljivoisticanje"/>
          <w:rFonts w:eastAsiaTheme="minorHAnsi"/>
          <w:sz w:val="22"/>
          <w:szCs w:val="22"/>
          <w:lang w:eastAsia="en-US"/>
        </w:rPr>
      </w:pPr>
      <w:r w:rsidRPr="00843037">
        <w:rPr>
          <w:rStyle w:val="Neupadljivoisticanje"/>
          <w:rFonts w:eastAsiaTheme="minorHAnsi"/>
          <w:sz w:val="22"/>
          <w:szCs w:val="22"/>
          <w:lang w:eastAsia="en-US"/>
        </w:rPr>
        <w:t>– Račun prihoda i rashoda i Račun financiranja.</w:t>
      </w:r>
    </w:p>
    <w:p w14:paraId="2ADBA4BC" w14:textId="77777777" w:rsidR="00843037" w:rsidRPr="00843037" w:rsidRDefault="00843037" w:rsidP="00843037">
      <w:pPr>
        <w:rPr>
          <w:rStyle w:val="Neupadljivoisticanje"/>
          <w:rFonts w:cs="Times New Roman"/>
          <w:sz w:val="22"/>
        </w:rPr>
      </w:pPr>
      <w:r w:rsidRPr="00843037">
        <w:rPr>
          <w:rStyle w:val="Neupadljivoisticanje"/>
          <w:rFonts w:cs="Times New Roman"/>
        </w:rPr>
        <w:t> Posebni dio polugodišnjeg i godišnjeg izvještaja o izvršenju financijskog plana proračunskog korisnika sadrži izvršenje rashoda i izdataka iskazanih po izvorima financiranja i ekonomskoj klasifikaciji, raspoređenih u programe koji se sastoje od aktivnosti i projekata.</w:t>
      </w:r>
    </w:p>
    <w:p w14:paraId="474B8BC0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 xml:space="preserve">Škola je proračunski korisnik proračuna JLPRS, financira se iz općih  prihoda i primitaka, pomoći, vlastitih prihoda, prihoda za posebne namjene, te donacija. </w:t>
      </w:r>
    </w:p>
    <w:p w14:paraId="383D1B38" w14:textId="77777777" w:rsidR="00843037" w:rsidRPr="00843037" w:rsidRDefault="00843037" w:rsidP="00843037">
      <w:pPr>
        <w:pStyle w:val="Odlomakpopisa"/>
        <w:numPr>
          <w:ilvl w:val="0"/>
          <w:numId w:val="3"/>
        </w:numPr>
        <w:rPr>
          <w:rStyle w:val="Neupadljivoisticanje"/>
          <w:rFonts w:ascii="Times New Roman" w:hAnsi="Times New Roman" w:cs="Times New Roman"/>
        </w:rPr>
      </w:pPr>
      <w:r w:rsidRPr="00843037">
        <w:rPr>
          <w:rStyle w:val="Neupadljivoisticanje"/>
          <w:rFonts w:ascii="Times New Roman" w:hAnsi="Times New Roman" w:cs="Times New Roman"/>
        </w:rPr>
        <w:lastRenderedPageBreak/>
        <w:t>OBRAZLOŽENJE OPĆEG DIJELA IZVJEŠTAJA O IZVRŠENJU FINANCIJSKOG PLANA DO 30.6.2022.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51"/>
        <w:gridCol w:w="2257"/>
        <w:gridCol w:w="2257"/>
        <w:gridCol w:w="2251"/>
      </w:tblGrid>
      <w:tr w:rsidR="00843037" w:rsidRPr="00843037" w14:paraId="38107379" w14:textId="77777777" w:rsidTr="008430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FE59" w14:textId="77777777" w:rsidR="00843037" w:rsidRPr="00843037" w:rsidRDefault="00843037">
            <w:pPr>
              <w:spacing w:after="0" w:line="240" w:lineRule="auto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Opis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6F5B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Plan za proračunsku godinu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36C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Izvršenje za proračunsku godinu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2D5F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Indeks</w:t>
            </w:r>
          </w:p>
        </w:tc>
      </w:tr>
      <w:tr w:rsidR="00843037" w:rsidRPr="00843037" w14:paraId="6D7D8354" w14:textId="77777777" w:rsidTr="008430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A41" w14:textId="77777777" w:rsidR="00843037" w:rsidRPr="00843037" w:rsidRDefault="00843037">
            <w:pPr>
              <w:spacing w:after="0" w:line="240" w:lineRule="auto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 xml:space="preserve">Ukupni prihodi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2C87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19.397.417,35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382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9.156.849,53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277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47,21 %</w:t>
            </w:r>
          </w:p>
        </w:tc>
      </w:tr>
      <w:tr w:rsidR="00843037" w:rsidRPr="00843037" w14:paraId="72B7A9C4" w14:textId="77777777" w:rsidTr="008430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105A" w14:textId="77777777" w:rsidR="00843037" w:rsidRPr="00843037" w:rsidRDefault="00843037">
            <w:pPr>
              <w:spacing w:after="0" w:line="240" w:lineRule="auto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Ukupni rashodi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F04A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19.577.058,47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0513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9.400.990,88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919A" w14:textId="77777777" w:rsidR="00843037" w:rsidRPr="00843037" w:rsidRDefault="00843037">
            <w:pPr>
              <w:spacing w:after="0" w:line="240" w:lineRule="auto"/>
              <w:jc w:val="center"/>
              <w:rPr>
                <w:rStyle w:val="Neupadljivoisticanje"/>
                <w:rFonts w:ascii="Times New Roman" w:hAnsi="Times New Roman" w:cs="Times New Roman"/>
              </w:rPr>
            </w:pPr>
            <w:r w:rsidRPr="00843037">
              <w:rPr>
                <w:rStyle w:val="Neupadljivoisticanje"/>
                <w:rFonts w:ascii="Times New Roman" w:hAnsi="Times New Roman" w:cs="Times New Roman"/>
              </w:rPr>
              <w:t>48,02 %</w:t>
            </w:r>
          </w:p>
        </w:tc>
      </w:tr>
    </w:tbl>
    <w:p w14:paraId="0AF8C8D4" w14:textId="77777777" w:rsidR="00843037" w:rsidRPr="00843037" w:rsidRDefault="00843037" w:rsidP="00843037">
      <w:pPr>
        <w:rPr>
          <w:rStyle w:val="Neupadljivoisticanje"/>
          <w:rFonts w:cs="Times New Roman"/>
          <w:sz w:val="22"/>
        </w:rPr>
      </w:pPr>
    </w:p>
    <w:p w14:paraId="053D33FA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Ukupni prihodi u odnosu na plan izvršeni su 47,21 %  što je neznatno manje od izvršenih rashoda koji su izvršeni 48,02 % za prvo polugodište 2022. godine.</w:t>
      </w:r>
    </w:p>
    <w:p w14:paraId="17FFB1D3" w14:textId="77777777" w:rsidR="00843037" w:rsidRPr="00843037" w:rsidRDefault="00843037" w:rsidP="00843037">
      <w:pPr>
        <w:pStyle w:val="Odlomakpopisa"/>
        <w:numPr>
          <w:ilvl w:val="0"/>
          <w:numId w:val="3"/>
        </w:numPr>
        <w:rPr>
          <w:rStyle w:val="Neupadljivoisticanje"/>
          <w:rFonts w:ascii="Times New Roman" w:hAnsi="Times New Roman" w:cs="Times New Roman"/>
        </w:rPr>
      </w:pPr>
      <w:r w:rsidRPr="00843037">
        <w:rPr>
          <w:rStyle w:val="Neupadljivoisticanje"/>
          <w:rFonts w:ascii="Times New Roman" w:hAnsi="Times New Roman" w:cs="Times New Roman"/>
        </w:rPr>
        <w:t>OBRAZLOŽENJE POSEBNOG DIJELA IZVJEŠTAJA O IZVRŠENJU FINANCIJSKOG  PLANA DO 30.06.2022.</w:t>
      </w:r>
    </w:p>
    <w:p w14:paraId="4755A160" w14:textId="77777777" w:rsidR="00843037" w:rsidRPr="00843037" w:rsidRDefault="00843037" w:rsidP="00843037">
      <w:pPr>
        <w:ind w:left="360"/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OBRAZLOŽENJE PRIHODA</w:t>
      </w:r>
    </w:p>
    <w:p w14:paraId="3B1CC2C8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Na izvoru 111 opći prihodi i primici –PSŽ ostvareni su prihodi za 41.,83% više od planiranog, a odnosi se na financiranje prijevoza na natjecanje učenika. Prihod od decentralizirane funkcije 431 izvršen je svega 34,60 % iz razloga jer su u I. Izmjenama FP za 2022. godinu planirani značajni iznosi za rekonstrukciju  kotlova centralnog grijanja, održavanje i uređenje dvorišta u područnim školama, te povećanje iznosa za energente.</w:t>
      </w:r>
    </w:p>
    <w:p w14:paraId="59694381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 xml:space="preserve">Na izvoru 52 pomoći EU-PSŽ izvršenje je 56,80 % , prikazuje nam financiranje plaća pomoćnika u nastavi, školske sheme voća i mlijeka, te obroka za 5. </w:t>
      </w:r>
    </w:p>
    <w:p w14:paraId="364F8554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Vlastiti prihodi izvor 32 ostvareni su prema planu 53,92 %, dok na izvoru 53 pomoći PK je izvršenje 48,92 % iz kojeg se financiraju rashodi za zaposlene.</w:t>
      </w:r>
    </w:p>
    <w:p w14:paraId="23BABCB6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Na izvoru 42 prihoda za posebne namjene izvršenje je 80,93 % od ukupno planiranog za 2022. godinu.</w:t>
      </w:r>
    </w:p>
    <w:p w14:paraId="4DE659C0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 xml:space="preserve">      OBRAZLOŽENJE RASHODA</w:t>
      </w:r>
    </w:p>
    <w:p w14:paraId="190DE71B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Ukupno ostvareni rashodi do 30.06.2022. godine su 48,02 % u odnosu na planirane rashode za tekuću 2022.</w:t>
      </w:r>
    </w:p>
    <w:p w14:paraId="4567ADCE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Na izvoru 431 decentralizirane funkcije ostvareno je 45,82 % , opći prihodi i primici za 41,83 % više od planiranog čine rashodi za natjecanja učenika.</w:t>
      </w:r>
    </w:p>
    <w:p w14:paraId="35839E1D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Na izvoru 32 vlastiti rashodi ostvareno je 8,19 % jer se u drugoj polovici godine planira nabava nefinancijske imovine.</w:t>
      </w:r>
    </w:p>
    <w:p w14:paraId="1555960E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Rashodi na izvoru 42 za posebne namjene izvršeni su 73,41 % u odnosu na planirano.</w:t>
      </w:r>
    </w:p>
    <w:p w14:paraId="0F6A508F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 xml:space="preserve">Rashodi na izvoru 52 Pomoći EU-PSŽ izvršeni su 42,73 % u odnosu na planirano.  </w:t>
      </w:r>
    </w:p>
    <w:p w14:paraId="7CA13DA3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Rashodi na izvoru 53 pomoći PK  izvršeni su 49,62 % od planiranog za 2022. godinu.</w:t>
      </w:r>
    </w:p>
    <w:p w14:paraId="50C67F30" w14:textId="77777777" w:rsidR="00843037" w:rsidRPr="00843037" w:rsidRDefault="00843037" w:rsidP="00843037">
      <w:pPr>
        <w:rPr>
          <w:rStyle w:val="Neupadljivoisticanje"/>
          <w:rFonts w:cs="Times New Roman"/>
        </w:rPr>
      </w:pPr>
      <w:r w:rsidRPr="00843037">
        <w:rPr>
          <w:rStyle w:val="Neupadljivoisticanje"/>
          <w:rFonts w:cs="Times New Roman"/>
        </w:rPr>
        <w:t>Na izvoru 54 pomoći EU-PK izvršenje rashoda je 42,82 %  planiranog iznosa za 2022. godinu</w:t>
      </w:r>
    </w:p>
    <w:p w14:paraId="55A5410F" w14:textId="1C5C7D34" w:rsidR="003C572C" w:rsidRPr="00843037" w:rsidRDefault="003C572C" w:rsidP="00E35A11">
      <w:pPr>
        <w:rPr>
          <w:rFonts w:cs="Times New Roman"/>
        </w:rPr>
      </w:pPr>
    </w:p>
    <w:p w14:paraId="4D76AE1E" w14:textId="77777777" w:rsidR="00787F1C" w:rsidRPr="00843037" w:rsidRDefault="00787F1C">
      <w:pPr>
        <w:rPr>
          <w:rFonts w:cs="Times New Roman"/>
        </w:rPr>
      </w:pPr>
    </w:p>
    <w:sectPr w:rsidR="00787F1C" w:rsidRPr="0084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0"/>
  </w:num>
  <w:num w:numId="3" w16cid:durableId="56649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63765"/>
    <w:rsid w:val="001034BA"/>
    <w:rsid w:val="00272FA3"/>
    <w:rsid w:val="0033662E"/>
    <w:rsid w:val="003C572C"/>
    <w:rsid w:val="004A5E8C"/>
    <w:rsid w:val="005F062E"/>
    <w:rsid w:val="006C2C44"/>
    <w:rsid w:val="00787F1C"/>
    <w:rsid w:val="00843037"/>
    <w:rsid w:val="00A047CB"/>
    <w:rsid w:val="00A91B98"/>
    <w:rsid w:val="00B25AE2"/>
    <w:rsid w:val="00B4690A"/>
    <w:rsid w:val="00DC3881"/>
    <w:rsid w:val="00DF0009"/>
    <w:rsid w:val="00E35A11"/>
    <w:rsid w:val="00E7210F"/>
    <w:rsid w:val="00EC769C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5</cp:revision>
  <cp:lastPrinted>2022-03-29T10:35:00Z</cp:lastPrinted>
  <dcterms:created xsi:type="dcterms:W3CDTF">2022-08-01T08:28:00Z</dcterms:created>
  <dcterms:modified xsi:type="dcterms:W3CDTF">2022-08-01T09:05:00Z</dcterms:modified>
</cp:coreProperties>
</file>